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AA5106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AA5106" w:rsidRPr="00AA5106">
        <w:rPr>
          <w:rFonts w:ascii="Arial" w:hAnsi="Arial" w:cs="Arial"/>
          <w:sz w:val="20"/>
          <w:szCs w:val="20"/>
        </w:rPr>
        <w:t>otwierdzenie klasy rocznej statku BALTICA</w:t>
      </w:r>
      <w:r w:rsidR="00AA5106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8315B0" w:rsidRDefault="008315B0" w:rsidP="008315B0">
      <w:pPr>
        <w:spacing w:line="360" w:lineRule="auto"/>
        <w:ind w:left="6804" w:firstLine="567"/>
        <w:rPr>
          <w:rFonts w:ascii="Arial" w:hAnsi="Arial" w:cs="Arial"/>
          <w:i/>
          <w:sz w:val="20"/>
          <w:szCs w:val="20"/>
        </w:rPr>
      </w:pPr>
    </w:p>
    <w:p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6E1306"/>
    <w:rsid w:val="008315B0"/>
    <w:rsid w:val="008B00B4"/>
    <w:rsid w:val="00936EC1"/>
    <w:rsid w:val="00AA5106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FD5D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2017-05-09T06:18:00Z</dcterms:created>
  <dcterms:modified xsi:type="dcterms:W3CDTF">2017-05-09T06:18:00Z</dcterms:modified>
</cp:coreProperties>
</file>